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0"/>
        <w:tblW w:w="0" w:type="auto"/>
        <w:tblInd w:w="6344" w:type="dxa"/>
        <w:tblLayout w:type="fixed"/>
        <w:tblLook w:val="04A0" w:firstRow="1" w:lastRow="0" w:firstColumn="1" w:lastColumn="0" w:noHBand="0" w:noVBand="1"/>
      </w:tblPr>
      <w:tblGrid>
        <w:gridCol w:w="3260"/>
      </w:tblGrid>
      <w:tr>
        <w:trPr/>
        <w:tc>
          <w:tcPr>
            <w:tcW w:w="3260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ind w:left="460"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 xml:space="preserve">Утверждено</w:t>
            </w:r>
          </w:p>
          <w:p>
            <w:pPr>
              <w:ind w:left="460"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 xml:space="preserve">постановлением</w:t>
            </w:r>
          </w:p>
          <w:p>
            <w:pPr>
              <w:ind w:left="460"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 xml:space="preserve">Правительства Саратовской области</w:t>
            </w:r>
          </w:p>
        </w:tc>
      </w:tr>
    </w:tbl>
    <w:p>
      <w:pPr>
        <w:ind w:firstLine="540"/>
        <w:jc w:val="left"/>
        <w:rPr>
          <w:rFonts w:ascii="PT Astra Serif" w:hAnsi="PT Astra Serif" w:cs="PT Astra Serif"/>
        </w:rPr>
      </w:pPr>
      <w:bookmarkStart w:id="0" w:name="_GoBack"/>
      <w:bookmarkEnd w:id="0"/>
    </w:p>
    <w:p>
      <w:pPr>
        <w:ind w:firstLine="54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Положение о региональной информационной системе в сфере закупок</w:t>
      </w:r>
    </w:p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товаров, работ, услуг для обеспечения государственных нужд </w:t>
      </w:r>
    </w:p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Саратовской области</w:t>
      </w:r>
    </w:p>
    <w:p>
      <w:pPr>
        <w:ind w:firstLine="0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 w:eastAsiaTheme="minorHAnsi"/>
        </w:rPr>
        <w:t xml:space="preserve">1. Настоящее Положение разработано в соответствии с частями 7, 9 статьи 4</w:t>
      </w:r>
      <w:r>
        <w:rPr>
          <w:rFonts w:ascii="PT Astra Serif" w:hAnsi="PT Astra Serif" w:cs="PT Astra Serif" w:eastAsiaTheme="minorHAnsi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 № 44-ФЗ), частью 24 статьи 4 Федерального закона от 18 июля 2011 года № 223-ФЗ «О закупках то</w:t>
      </w:r>
      <w:r>
        <w:rPr>
          <w:rFonts w:ascii="PT Astra Serif" w:hAnsi="PT Astra Serif" w:cs="PT Astra Serif" w:eastAsiaTheme="minorHAnsi"/>
        </w:rPr>
        <w:t xml:space="preserve">варов, работ, услуг отдельными видами юридических лиц» (далее – Федеральный закон № 223-ФЗ), постановлением Правительства Российской Федерации от 27 января 2022 года № 60 «О мерах по информационному обеспечению контрактной системы в сфере закупок товаров, </w:t>
      </w:r>
      <w:r>
        <w:rPr>
          <w:rFonts w:ascii="PT Astra Serif" w:hAnsi="PT Astra Serif" w:cs="PT Astra Serif" w:eastAsiaTheme="minorHAnsi"/>
        </w:rPr>
        <w:t xml:space="preserve">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</w:t>
      </w:r>
      <w:r>
        <w:rPr>
          <w:rFonts w:ascii="PT Astra Serif" w:hAnsi="PT Astra Serif" w:cs="PT Astra Serif" w:eastAsiaTheme="minorHAnsi"/>
        </w:rPr>
        <w:t xml:space="preserve">Российской Федерации» и устанавливает порядок функционирования и использования региональной информационной системы в сфере закупок товаров, работ, услуг для обеспечения государственных нужд Саратовской области (далее - региональная информационная система, </w:t>
      </w:r>
      <w:r>
        <w:rPr>
          <w:rFonts w:ascii="PT Astra Serif" w:hAnsi="PT Astra Serif" w:cs="PT Astra Serif" w:eastAsiaTheme="minorHAnsi"/>
        </w:rPr>
        <w:t xml:space="preserve">РегИС</w:t>
      </w:r>
      <w:r>
        <w:rPr>
          <w:rFonts w:ascii="PT Astra Serif" w:hAnsi="PT Astra Serif" w:cs="PT Astra Serif" w:eastAsiaTheme="minorHAnsi"/>
        </w:rPr>
        <w:t xml:space="preserve">), в том числе требования по обеспечению автоматизации, правила и порядок информационного взаимодействия </w:t>
      </w:r>
      <w:r>
        <w:rPr>
          <w:rFonts w:ascii="PT Astra Serif" w:hAnsi="PT Astra Serif" w:cs="PT Astra Serif" w:eastAsiaTheme="minorHAnsi"/>
        </w:rPr>
        <w:t xml:space="preserve">РегИС</w:t>
      </w:r>
      <w:r>
        <w:rPr>
          <w:rFonts w:ascii="PT Astra Serif" w:hAnsi="PT Astra Serif" w:cs="PT Astra Serif" w:eastAsiaTheme="minorHAnsi"/>
        </w:rPr>
        <w:t xml:space="preserve"> с иными информационными системами.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 w:eastAsiaTheme="minorHAnsi"/>
        </w:rPr>
        <w:t xml:space="preserve">2. Основные понятия, используемые в настоящем Положении, применяются в том значении, в каком они определены в </w:t>
      </w:r>
      <w:r>
        <w:rPr>
          <w:rFonts w:ascii="PT Astra Serif" w:hAnsi="PT Astra Serif" w:cs="PT Astra Serif"/>
        </w:rPr>
        <w:t xml:space="preserve">Федеральном законе № 44-ФЗ и Федеральном законе № 223-ФЗ.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3. Официальным сайтом региональной информационной системы в информационно-телекоммуникационной сети Интернет является https://zakupki64.saratov.gov.ru (далее - сайт).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Сайт является системой общего пользования и не может быть использован для ввода, хранения и обработки информации конфиденциального характера, а также сведений, составляющих государственную или коммерческую тайну, и информации, имеющей рекламный характер.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4. Министерство финансов области является оператором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(далее - Оператор).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5. Участниками региональной информационной системы являются субъекты и пользователи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6. Субъектами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являются уполномоченное государственное казенное учреждение Саратовской области «Государственное агентство по </w:t>
      </w:r>
      <w:r>
        <w:rPr>
          <w:rFonts w:ascii="PT Astra Serif" w:hAnsi="PT Astra Serif" w:cs="PT Astra Serif"/>
        </w:rPr>
        <w:t xml:space="preserve">централизации закупок» на определение поставщиков (подрядчиков, исполнителей) для заказчиков Саратовской области (далее - Администратор) и заказчики Саратовской области.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Под заказчиками Саратовской области понимаются: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  <w:t xml:space="preserve">исполнительные </w:t>
      </w:r>
      <w:r>
        <w:rPr>
          <w:rFonts w:ascii="PT Astra Serif" w:hAnsi="PT Astra Serif" w:cs="PT Astra Serif"/>
        </w:rPr>
        <w:t xml:space="preserve">органы  области и подведомственные им учреждения, </w:t>
      </w:r>
      <w:r>
        <w:rPr>
          <w:rFonts w:ascii="PT Astra Serif" w:hAnsi="PT Astra Serif" w:cs="PT Astra Serif"/>
        </w:rPr>
        <w:t xml:space="preserve">государственные бюджетные учреждения Саратовской области и государственные автономные учреждения Саратовской области, осуществляющие закупки в соответствии с Федеральным законом № 223-ФЗ, а также государственные унитарные предприятия Сара</w:t>
      </w:r>
      <w:r>
        <w:rPr>
          <w:rFonts w:ascii="PT Astra Serif" w:hAnsi="PT Astra Serif" w:cs="PT Astra Serif"/>
        </w:rPr>
        <w:t xml:space="preserve">товской области, заключившие с государственным казенным учреждением Саратовской области «Государственное агентство по централизации закупок» (Администратором) соглашение об организации конкурентных закупок в соответствии с Федеральным законом № 223-ФЗ.</w:t>
      </w:r>
      <w:r>
        <w:rPr>
          <w:rFonts w:ascii="PT Astra Serif" w:hAnsi="PT Astra Serif" w:cs="PT Astra Serif"/>
        </w:rPr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7. Пользователями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являются физические и юридические лица, включая участников закупок товаров, работ, услуг для обеспечения государственных нужд Саратовской области.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8. Предоставление доступа к сайту субъектам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осуществляется после прохождения ими процедур регистрации, идентификации, аутентификации и авторизации на сайте.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Правила регистрации субъектов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на сайте регламентируются и утверждаются Оператором.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9. Доступ к сайту пользователям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предоставляется без регистрации.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10. Действия, направленные на нарушение процесса функционирования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, запрещены.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11.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обеспечивает информационное взаимодействие с единой информационной системой в </w:t>
      </w:r>
      <w:r>
        <w:rPr>
          <w:rFonts w:ascii="PT Astra Serif" w:hAnsi="PT Astra Serif" w:cs="PT Astra Serif"/>
        </w:rPr>
        <w:t xml:space="preserve">сфере закупок това</w:t>
      </w:r>
      <w:r>
        <w:rPr>
          <w:rFonts w:ascii="PT Astra Serif" w:hAnsi="PT Astra Serif" w:cs="PT Astra Serif"/>
        </w:rPr>
        <w:t xml:space="preserve">ров, работ, услуг для обеспечения государственных и муниципальных нужд (далее - ЕИС) в соответствии с порядком информационного взаимодействия, установление которого предусмотрено Федеральным законом № 44-ФЗ (далее - порядок информационного взаимодействия):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а) формирование, обработку, хранение и предоставление информации о закупках для обеспечения государственных нужд Саратовской области;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б) использование для подписания электронных документов электронной подписи, вид которой предусмотрены Федеральным законом № 44-ФЗ и Федеральным законом № 223-ФЗ;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в) применение справочников, реестров и классификаторов, используемых в ЕИС;</w:t>
      </w:r>
    </w:p>
    <w:p>
      <w:pPr>
        <w:ind w:firstLine="540"/>
        <w:rPr>
          <w:rFonts w:ascii="PT Astra Serif" w:hAnsi="PT Astra Serif" w:cs="PT Astra Serif"/>
          <w:highlight w:val="none"/>
        </w:rPr>
      </w:pPr>
      <w:r>
        <w:rPr>
          <w:rFonts w:ascii="PT Astra Serif" w:hAnsi="PT Astra Serif" w:cs="PT Astra Serif"/>
        </w:rPr>
        <w:t xml:space="preserve">г) соответствие установленным в соотв</w:t>
      </w:r>
      <w:r>
        <w:rPr>
          <w:rFonts w:ascii="PT Astra Serif" w:hAnsi="PT Astra Serif" w:cs="PT Astra Serif"/>
        </w:rPr>
        <w:t xml:space="preserve">етствии с частью 5 статьи 16 Федерального закона от 27 июля 2006 года № 149-ФЗ «Об информации, информационных технологиях и о защите информации» (далее – Федеральный закон № 149-ФЗ) требованиям к классу защищенности информационной системы не ниже 2 класса;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highlight w:val="none"/>
        </w:rPr>
        <w:t xml:space="preserve">д) </w:t>
      </w:r>
      <w:r>
        <w:rPr>
          <w:rFonts w:ascii="PT Astra Serif" w:hAnsi="PT Astra Serif" w:cs="PT Astra Serif"/>
          <w:highlight w:val="none"/>
        </w:rPr>
        <w:t xml:space="preserve">прохождение регистрации в ЕИС.</w:t>
      </w:r>
      <w:r>
        <w:rPr>
          <w:rFonts w:ascii="PT Astra Serif" w:hAnsi="PT Astra Serif" w:cs="PT Astra Serif"/>
          <w:highlight w:val="none"/>
        </w:rPr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12. 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включает в себя совокупность информационных систем, программных средств, систе</w:t>
      </w:r>
      <w:r>
        <w:rPr>
          <w:rFonts w:ascii="PT Astra Serif" w:hAnsi="PT Astra Serif" w:cs="PT Astra Serif"/>
        </w:rPr>
        <w:t xml:space="preserve">м управления базами данных, баз данных, аппаратных средств, иного программного и аппаратного обеспечения, соответствующих законодательству Российской Федерации, определяющему требования к государственным информационным системам в сфере контрактной системы.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13.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обеспечивает передачу в ЕИС, а также прием </w:t>
      </w:r>
      <w:r>
        <w:rPr>
          <w:rFonts w:ascii="PT Astra Serif" w:hAnsi="PT Astra Serif" w:cs="PT Astra Serif"/>
        </w:rPr>
        <w:t xml:space="preserve">из такой системы, в том числе, следующей информации и документов: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а) </w:t>
      </w:r>
      <w:r>
        <w:rPr>
          <w:rFonts w:ascii="PT Astra Serif" w:hAnsi="PT Astra Serif" w:eastAsia="Times New Roman" w:cs="PT Astra Serif"/>
          <w:lang w:eastAsia="ru-RU"/>
        </w:rPr>
        <w:t xml:space="preserve">соответствующих Федеральному закону № 44-ФЗ: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планы-графики закупок;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информация о реализации планов-графиков закупок;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highlight w:val="none"/>
        </w:rPr>
      </w:r>
      <w:r>
        <w:rPr>
          <w:rFonts w:ascii="PT Astra Serif" w:hAnsi="PT Astra Serif" w:cs="PT Astra Serif"/>
        </w:rPr>
        <w:t xml:space="preserve">информация о</w:t>
      </w:r>
      <w:r>
        <w:rPr>
          <w:rFonts w:ascii="PT Astra Serif" w:hAnsi="PT Astra Serif" w:cs="PT Astra Serif"/>
          <w:highlight w:val="none"/>
        </w:rPr>
        <w:t xml:space="preserve">б исполнении контрактов;</w:t>
      </w:r>
      <w:r>
        <w:rPr>
          <w:rFonts w:ascii="PT Astra Serif" w:hAnsi="PT Astra Serif" w:cs="PT Astra Serif"/>
          <w:highlight w:val="none"/>
        </w:rPr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highlight w:val="none"/>
        </w:rPr>
        <w:t xml:space="preserve">запросы пользователей региональной информационной системы, в том числе запросы цен товаров, работ, услуг, предусмотренные частью 5 статьи 22 </w:t>
      </w:r>
      <w:r>
        <w:rPr>
          <w:rFonts w:ascii="PT Astra Serif" w:hAnsi="PT Astra Serif" w:eastAsia="Times New Roman" w:cs="PT Astra Serif"/>
          <w:lang w:eastAsia="ru-RU"/>
        </w:rPr>
        <w:t xml:space="preserve">Федерального закона № 44-ФЗ</w:t>
      </w:r>
      <w:r>
        <w:rPr>
          <w:rFonts w:ascii="PT Astra Serif" w:hAnsi="PT Astra Serif" w:cs="PT Astra Serif"/>
          <w:highlight w:val="none"/>
        </w:rPr>
        <w:t xml:space="preserve">;</w:t>
      </w:r>
      <w:r>
        <w:rPr>
          <w:rFonts w:ascii="PT Astra Serif" w:hAnsi="PT Astra Serif" w:cs="PT Astra Serif"/>
          <w:highlight w:val="none"/>
        </w:rPr>
      </w:r>
    </w:p>
    <w:p>
      <w:pPr>
        <w:ind w:firstLine="540"/>
        <w:rPr>
          <w:rFonts w:ascii="PT Astra Serif" w:hAnsi="PT Astra Serif" w:cs="PT Astra Serif"/>
          <w:highlight w:val="none"/>
        </w:rPr>
      </w:pPr>
      <w:r>
        <w:rPr>
          <w:rFonts w:ascii="PT Astra Serif" w:hAnsi="PT Astra Serif" w:cs="PT Astra Serif"/>
        </w:rPr>
        <w:t xml:space="preserve">отчеты заказчиков;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eastAsia="Times New Roman" w:cs="PT Astra Serif"/>
          <w:lang w:eastAsia="ru-RU"/>
        </w:rPr>
        <w:t xml:space="preserve">иной информации и документов, размещение которых в ЕИС предусмотрено Федеральным законом № 44-ФЗ и принятыми в соответствии с ним иными нормативными правовыми актами</w:t>
      </w:r>
      <w:r>
        <w:rPr>
          <w:rFonts w:ascii="PT Astra Serif" w:hAnsi="PT Astra Serif" w:cs="PT Astra Serif"/>
        </w:rPr>
        <w:t xml:space="preserve">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ind w:firstLine="567"/>
        <w:rPr>
          <w:rFonts w:ascii="PT Astra Serif" w:hAnsi="PT Astra Serif" w:cs="PT Astra Serif"/>
        </w:rPr>
      </w:pPr>
      <w:r>
        <w:rPr>
          <w:rFonts w:ascii="PT Astra Serif" w:hAnsi="PT Astra Serif" w:eastAsia="Times New Roman" w:cs="PT Astra Serif"/>
          <w:lang w:eastAsia="ru-RU"/>
        </w:rPr>
        <w:t xml:space="preserve">б) соответствующих Федеральному закону № 223-ФЗ: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ind w:firstLine="567"/>
        <w:rPr>
          <w:rFonts w:ascii="PT Astra Serif" w:hAnsi="PT Astra Serif" w:cs="PT Astra Serif"/>
        </w:rPr>
      </w:pPr>
      <w:r>
        <w:rPr>
          <w:rFonts w:ascii="PT Astra Serif" w:hAnsi="PT Astra Serif" w:eastAsia="Times New Roman" w:cs="PT Astra Serif"/>
          <w:lang w:eastAsia="ru-RU"/>
        </w:rPr>
        <w:t xml:space="preserve">типовых положений о закупке;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ind w:firstLine="567"/>
        <w:rPr>
          <w:rFonts w:ascii="PT Astra Serif" w:hAnsi="PT Astra Serif" w:cs="PT Astra Serif"/>
        </w:rPr>
      </w:pPr>
      <w:r>
        <w:rPr>
          <w:rFonts w:ascii="PT Astra Serif" w:hAnsi="PT Astra Serif" w:eastAsia="Times New Roman" w:cs="PT Astra Serif"/>
          <w:lang w:eastAsia="ru-RU"/>
        </w:rPr>
        <w:t xml:space="preserve">положений о закупке;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ind w:firstLine="567"/>
        <w:rPr>
          <w:rFonts w:ascii="PT Astra Serif" w:hAnsi="PT Astra Serif" w:cs="PT Astra Serif"/>
        </w:rPr>
      </w:pPr>
      <w:r>
        <w:rPr>
          <w:rFonts w:ascii="PT Astra Serif" w:hAnsi="PT Astra Serif" w:eastAsia="Times New Roman" w:cs="PT Astra Serif"/>
          <w:lang w:eastAsia="ru-RU"/>
        </w:rPr>
        <w:t xml:space="preserve">планов закупки товаров, работ, услуг;</w:t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ind w:firstLine="567"/>
        <w:rPr>
          <w:rFonts w:ascii="PT Astra Serif" w:hAnsi="PT Astra Serif" w:cs="PT Astra Serif"/>
        </w:rPr>
      </w:pPr>
      <w:r>
        <w:rPr>
          <w:rFonts w:ascii="PT Astra Serif" w:hAnsi="PT Astra Serif" w:eastAsia="Times New Roman" w:cs="PT Astra Serif"/>
          <w:lang w:eastAsia="ru-RU"/>
        </w:rPr>
        <w:t xml:space="preserve">информации о заключенных договорах, сведений об изменении договоров, сведений о расторжении договоров;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eastAsia="Times New Roman" w:cs="PT Astra Serif"/>
          <w:lang w:eastAsia="ru-RU"/>
        </w:rPr>
        <w:t xml:space="preserve">иной информации и документов, размещение которых в ЕИС предусмотрено Федеральным законом № 223-ФЗ и принятыми в соответствии с ним иными нормативными правовыми актами.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14. Региональная информ</w:t>
      </w:r>
      <w:r>
        <w:rPr>
          <w:rFonts w:ascii="PT Astra Serif" w:hAnsi="PT Astra Serif" w:cs="PT Astra Serif"/>
        </w:rPr>
        <w:t xml:space="preserve">ационная система обеспечивает размещение информации, содержащейся в такой системе, в ЕИС, в том числе в целях ее опубликования на официальном сайте в информационно-телекоммуникационной сети Интернет (далее - официальный сайт) единой информационной системы.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15.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обеспечивает размещение в ней информации п</w:t>
      </w:r>
      <w:r>
        <w:rPr>
          <w:rFonts w:ascii="PT Astra Serif" w:hAnsi="PT Astra Serif" w:cs="PT Astra Serif"/>
        </w:rPr>
        <w:t xml:space="preserve">утем заполнения экранных форм соответствующими сведениями, размещения электронного документа в виде отдельного файла в соответствующем разделе этой системы, а также путем взаимодействия региональной информационной системы с иными информационными системами.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16. Технологические средства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обеспечивают:</w:t>
      </w:r>
    </w:p>
    <w:p>
      <w:pPr>
        <w:ind w:firstLine="540"/>
      </w:pPr>
      <w:r>
        <w:rPr>
          <w:rFonts w:ascii="PT Astra Serif" w:hAnsi="PT Astra Serif" w:cs="PT Astra Serif"/>
        </w:rPr>
        <w:t xml:space="preserve">а) круглосуточную непрерывную работу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, за исключением перерывов на регламентные и технологические работы;</w:t>
      </w:r>
    </w:p>
    <w:p>
      <w:pPr>
        <w:ind w:firstLine="540"/>
      </w:pPr>
      <w:r>
        <w:rPr>
          <w:rFonts w:ascii="PT Astra Serif" w:hAnsi="PT Astra Serif" w:cs="PT Astra Serif"/>
        </w:rPr>
        <w:t xml:space="preserve">б) информационное взаимодействие с ЕИС, иными информационными системами;</w:t>
      </w:r>
    </w:p>
    <w:p>
      <w:pPr>
        <w:ind w:firstLine="540"/>
      </w:pPr>
      <w:r>
        <w:rPr>
          <w:rFonts w:ascii="PT Astra Serif" w:hAnsi="PT Astra Serif" w:cs="PT Astra Serif"/>
        </w:rPr>
        <w:t xml:space="preserve">в) защиту информации и документов, содержащихся в РегИС, в соответствии с требованиями статьи 16 Федерального закона № 149-ФЗ;</w:t>
      </w:r>
    </w:p>
    <w:p>
      <w:pPr>
        <w:ind w:firstLine="540"/>
      </w:pPr>
      <w:r>
        <w:rPr>
          <w:rFonts w:ascii="PT Astra Serif" w:hAnsi="PT Astra Serif" w:cs="PT Astra Serif"/>
        </w:rPr>
        <w:t xml:space="preserve">г) ведение электронных журналов учета действий и операций, содержащих информацию о формировании, размещении, измен</w:t>
      </w:r>
      <w:r>
        <w:rPr>
          <w:rFonts w:ascii="PT Astra Serif" w:hAnsi="PT Astra Serif" w:cs="PT Astra Serif"/>
        </w:rPr>
        <w:t xml:space="preserve">ении, обмене и исключении информации и документов, с указанием времени выполнения таких действий и операций, а также осуществивших их лицах, в том числе при информационном взаимодействии с иными информационными системами (далее - электронный журнал учета);</w:t>
      </w:r>
    </w:p>
    <w:p>
      <w:pPr>
        <w:ind w:firstLine="540"/>
      </w:pPr>
      <w:r>
        <w:rPr>
          <w:rFonts w:ascii="PT Astra Serif" w:hAnsi="PT Astra Serif" w:cs="PT Astra Serif"/>
        </w:rPr>
        <w:t xml:space="preserve">д) формирование выписок из электронных журналов учета;</w:t>
      </w:r>
    </w:p>
    <w:p>
      <w:pPr>
        <w:ind w:firstLine="540"/>
      </w:pPr>
      <w:r>
        <w:rPr>
          <w:rFonts w:ascii="PT Astra Serif" w:hAnsi="PT Astra Serif" w:cs="PT Astra Serif"/>
        </w:rPr>
        <w:t xml:space="preserve">е) возможность определения даты и времени размещения, последнего изменения информации и документов;</w:t>
      </w:r>
    </w:p>
    <w:p>
      <w:pPr>
        <w:ind w:firstLine="540"/>
      </w:pPr>
      <w:r>
        <w:rPr>
          <w:rFonts w:ascii="PT Astra Serif" w:hAnsi="PT Astra Serif" w:cs="PT Astra Serif"/>
        </w:rPr>
        <w:t xml:space="preserve">ж) копирование на резервный материальный носитель, обеспечивающее возможность восстановления информации, документов и электронных журналов учета в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з) хранение информации и документов, а также резервных материальных носителей, полученных в результате копирования, не менее сроков, предусмотренных Федеральным законом № 44-ФЗ и Федеральным законом № 223-ФЗ.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17. Лингвистические средства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и сайта обеспечивают участникам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возможность формирования и просмотра информации и документов на русском языке.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18. Информационное взаимодействие осуществляется по защищенным каналам связи (защищенное соединение) с использованием сертифицированных средств криптографической защиты информации.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19. Региональная информационная система осуществляет информационное взаимодействие с ЕИС, государственной информационной системой «Единая система управления региональными финансами Саратовской области» и иными информационными системами.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20. Информационное взаимодействие региональной информационной системы с ЕИС осуществляется на основании обмена электронными документами, информационными запро</w:t>
      </w:r>
      <w:r>
        <w:rPr>
          <w:rFonts w:ascii="PT Astra Serif" w:hAnsi="PT Astra Serif" w:cs="PT Astra Serif"/>
        </w:rPr>
        <w:t xml:space="preserve">сами и информационными сообщениями, подписанными электронной подписью, в соответствии с порядком информационного взаимодействия между.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21. Оператор: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1) осуществляет наполнение, обновление и изменение информационной структуры сайта;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2) обеспечивает интеграцию региональной информационной системы с ЕИС, а также ее регистрацию в ЕИС;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3) обеспечивает соответствие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законодательству Российской Федерации в сфере защиты информации и использования электронной подписи;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4) информирует участников региональной информационной системы о планируемых перерывах в работе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5) устанавливает регламент регистрации на сайте пользователей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, осуществляющих ввод и формирование информации на сайте;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6) разграничивает доступ к информации, размещенной на сайте;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7) осуществляет техническое обеспечение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самостоятельно либо с привлечением третьих лиц в порядке, установленном законодательством Российской Федерации, включающее в себя настройку, конфигурацию и обновление сайта, оборудования и программного обеспечения, необходимого для функционирования сайта;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8) осуществляет иные функции, связанные с обеспечением бесперебойной эксплуатации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.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22. Администратор: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1) принимает участие в разработке регламентов использования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2) осуществляет мониторинг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на предмет ее соответствия законодательству Российской Федерации и доводит информацию до сведения Оператора;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3) совместно с Оператором взаимодействует с третьими лицами по вопросам сопровождения и модернизации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, содействует в выявлении и исправлении ошибок в работе программных и аппаратных средств, используемых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, а также осуществляет консультативную поддержку заказчиков Саратовской области по вопросам, связанным с функционированием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в рамках своей компетенции;</w:t>
      </w:r>
    </w:p>
    <w:p>
      <w:pPr>
        <w:ind w:firstLine="540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4) осуществляет иные функции, связанные с непосредственной эксплуатацией </w:t>
      </w:r>
      <w:r>
        <w:rPr>
          <w:rFonts w:ascii="PT Astra Serif" w:hAnsi="PT Astra Serif" w:cs="PT Astra Serif"/>
        </w:rPr>
        <w:t xml:space="preserve">РегИС</w:t>
      </w:r>
      <w:r>
        <w:rPr>
          <w:rFonts w:ascii="PT Astra Serif" w:hAnsi="PT Astra Serif" w:cs="PT Astra Serif"/>
        </w:rPr>
        <w:t xml:space="preserve"> в рамках своей компетенции.</w:t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  <w:font w:name="Calibri">
    <w:panose1 w:val="020F050202020403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5</w:t>
    </w:r>
    <w:r>
      <w:fldChar w:fldCharType="end"/>
    </w:r>
  </w:p>
  <w:p>
    <w:pPr>
      <w:pStyle w:val="7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84"/>
      <w:isLgl w:val="false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685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686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687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688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89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690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691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692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5">
    <w:name w:val="Title Char"/>
    <w:basedOn w:val="693"/>
    <w:link w:val="706"/>
    <w:uiPriority w:val="10"/>
    <w:rPr>
      <w:sz w:val="48"/>
      <w:szCs w:val="48"/>
    </w:rPr>
  </w:style>
  <w:style w:type="character" w:styleId="676">
    <w:name w:val="Subtitle Char"/>
    <w:basedOn w:val="693"/>
    <w:link w:val="708"/>
    <w:uiPriority w:val="11"/>
    <w:rPr>
      <w:sz w:val="24"/>
      <w:szCs w:val="24"/>
    </w:rPr>
  </w:style>
  <w:style w:type="character" w:styleId="677">
    <w:name w:val="Quote Char"/>
    <w:link w:val="710"/>
    <w:uiPriority w:val="29"/>
    <w:rPr>
      <w:i/>
    </w:rPr>
  </w:style>
  <w:style w:type="character" w:styleId="678">
    <w:name w:val="Intense Quote Char"/>
    <w:link w:val="712"/>
    <w:uiPriority w:val="30"/>
    <w:rPr>
      <w:i/>
    </w:rPr>
  </w:style>
  <w:style w:type="character" w:styleId="679">
    <w:name w:val="Header Char"/>
    <w:basedOn w:val="693"/>
    <w:link w:val="714"/>
    <w:uiPriority w:val="99"/>
  </w:style>
  <w:style w:type="character" w:styleId="680">
    <w:name w:val="Caption Char"/>
    <w:basedOn w:val="718"/>
    <w:link w:val="716"/>
    <w:uiPriority w:val="99"/>
  </w:style>
  <w:style w:type="character" w:styleId="681">
    <w:name w:val="Footnote Text Char"/>
    <w:link w:val="847"/>
    <w:uiPriority w:val="99"/>
    <w:rPr>
      <w:sz w:val="18"/>
    </w:rPr>
  </w:style>
  <w:style w:type="character" w:styleId="682">
    <w:name w:val="Endnote Text Char"/>
    <w:link w:val="850"/>
    <w:uiPriority w:val="99"/>
    <w:rPr>
      <w:sz w:val="20"/>
    </w:rPr>
  </w:style>
  <w:style w:type="paragraph" w:styleId="683" w:default="1">
    <w:name w:val="Normal"/>
    <w:qFormat/>
    <w:pPr>
      <w:spacing w:after="0" w:line="240" w:lineRule="auto"/>
      <w:ind w:firstLine="709"/>
      <w:jc w:val="both"/>
    </w:pPr>
    <w:rPr>
      <w:rFonts w:ascii="Times New Roman" w:hAnsi="Times New Roman" w:eastAsia="Calibri" w:cs="Times New Roman"/>
      <w:sz w:val="28"/>
      <w:szCs w:val="28"/>
    </w:rPr>
  </w:style>
  <w:style w:type="paragraph" w:styleId="684">
    <w:name w:val="Heading 1"/>
    <w:basedOn w:val="683"/>
    <w:next w:val="683"/>
    <w:link w:val="874"/>
    <w:qFormat/>
    <w:pPr>
      <w:keepNext/>
      <w:numPr>
        <w:numId w:val="1"/>
      </w:numPr>
      <w:spacing w:before="240" w:after="60"/>
      <w:jc w:val="left"/>
      <w:outlineLvl w:val="0"/>
    </w:pPr>
    <w:rPr>
      <w:rFonts w:ascii="Cambria" w:hAnsi="Cambria" w:eastAsia="Times New Roman"/>
      <w:b/>
      <w:bCs/>
      <w:sz w:val="32"/>
      <w:szCs w:val="32"/>
      <w:lang w:eastAsia="ru-RU"/>
    </w:rPr>
  </w:style>
  <w:style w:type="paragraph" w:styleId="685">
    <w:name w:val="Heading 2"/>
    <w:basedOn w:val="683"/>
    <w:next w:val="683"/>
    <w:link w:val="875"/>
    <w:semiHidden/>
    <w:unhideWhenUsed/>
    <w:qFormat/>
    <w:pPr>
      <w:keepNext/>
      <w:numPr>
        <w:numId w:val="1"/>
        <w:ilvl w:val="1"/>
      </w:numPr>
      <w:spacing w:before="240" w:after="60"/>
      <w:jc w:val="left"/>
      <w:outlineLvl w:val="1"/>
    </w:pPr>
    <w:rPr>
      <w:rFonts w:ascii="Cambria" w:hAnsi="Cambria" w:eastAsia="Times New Roman"/>
      <w:b/>
      <w:bCs/>
      <w:i/>
      <w:iCs/>
      <w:lang w:eastAsia="ru-RU"/>
    </w:rPr>
  </w:style>
  <w:style w:type="paragraph" w:styleId="686">
    <w:name w:val="Heading 3"/>
    <w:basedOn w:val="683"/>
    <w:next w:val="683"/>
    <w:link w:val="876"/>
    <w:qFormat/>
    <w:pPr>
      <w:keepNext/>
      <w:numPr>
        <w:numId w:val="1"/>
        <w:ilvl w:val="2"/>
      </w:numPr>
      <w:outlineLvl w:val="2"/>
    </w:pPr>
    <w:rPr>
      <w:rFonts w:eastAsia="Times New Roman"/>
      <w:szCs w:val="24"/>
      <w:lang w:eastAsia="ru-RU"/>
    </w:rPr>
  </w:style>
  <w:style w:type="paragraph" w:styleId="687">
    <w:name w:val="Heading 4"/>
    <w:basedOn w:val="683"/>
    <w:next w:val="683"/>
    <w:link w:val="877"/>
    <w:semiHidden/>
    <w:unhideWhenUsed/>
    <w:qFormat/>
    <w:pPr>
      <w:keepNext/>
      <w:numPr>
        <w:numId w:val="1"/>
        <w:ilvl w:val="3"/>
      </w:numPr>
      <w:spacing w:before="240" w:after="60"/>
      <w:jc w:val="left"/>
      <w:outlineLvl w:val="3"/>
    </w:pPr>
    <w:rPr>
      <w:rFonts w:ascii="Calibri" w:hAnsi="Calibri" w:eastAsia="Times New Roman"/>
      <w:b/>
      <w:bCs/>
      <w:lang w:eastAsia="ru-RU"/>
    </w:rPr>
  </w:style>
  <w:style w:type="paragraph" w:styleId="688">
    <w:name w:val="Heading 5"/>
    <w:basedOn w:val="683"/>
    <w:next w:val="683"/>
    <w:link w:val="878"/>
    <w:semiHidden/>
    <w:unhideWhenUsed/>
    <w:qFormat/>
    <w:pPr>
      <w:numPr>
        <w:numId w:val="1"/>
        <w:ilvl w:val="4"/>
      </w:numPr>
      <w:spacing w:before="240" w:after="60"/>
      <w:jc w:val="left"/>
      <w:outlineLvl w:val="4"/>
    </w:pPr>
    <w:rPr>
      <w:rFonts w:ascii="Calibri" w:hAnsi="Calibri" w:eastAsia="Times New Roman"/>
      <w:b/>
      <w:bCs/>
      <w:i/>
      <w:iCs/>
      <w:sz w:val="26"/>
      <w:szCs w:val="26"/>
      <w:lang w:eastAsia="ru-RU"/>
    </w:rPr>
  </w:style>
  <w:style w:type="paragraph" w:styleId="689">
    <w:name w:val="Heading 6"/>
    <w:basedOn w:val="683"/>
    <w:next w:val="683"/>
    <w:link w:val="879"/>
    <w:semiHidden/>
    <w:unhideWhenUsed/>
    <w:qFormat/>
    <w:pPr>
      <w:numPr>
        <w:numId w:val="1"/>
        <w:ilvl w:val="5"/>
      </w:numPr>
      <w:spacing w:before="240" w:after="60"/>
      <w:jc w:val="left"/>
      <w:outlineLvl w:val="5"/>
    </w:pPr>
    <w:rPr>
      <w:rFonts w:ascii="Calibri" w:hAnsi="Calibri" w:eastAsia="Times New Roman"/>
      <w:b/>
      <w:bCs/>
      <w:sz w:val="22"/>
      <w:szCs w:val="22"/>
      <w:lang w:eastAsia="ru-RU"/>
    </w:rPr>
  </w:style>
  <w:style w:type="paragraph" w:styleId="690">
    <w:name w:val="Heading 7"/>
    <w:basedOn w:val="683"/>
    <w:next w:val="683"/>
    <w:link w:val="880"/>
    <w:semiHidden/>
    <w:unhideWhenUsed/>
    <w:qFormat/>
    <w:pPr>
      <w:numPr>
        <w:numId w:val="1"/>
        <w:ilvl w:val="6"/>
      </w:numPr>
      <w:spacing w:before="240" w:after="60"/>
      <w:jc w:val="left"/>
      <w:outlineLvl w:val="6"/>
    </w:pPr>
    <w:rPr>
      <w:rFonts w:ascii="Calibri" w:hAnsi="Calibri" w:eastAsia="Times New Roman"/>
      <w:sz w:val="24"/>
      <w:szCs w:val="24"/>
      <w:lang w:eastAsia="ru-RU"/>
    </w:rPr>
  </w:style>
  <w:style w:type="paragraph" w:styleId="691">
    <w:name w:val="Heading 8"/>
    <w:basedOn w:val="683"/>
    <w:next w:val="683"/>
    <w:link w:val="881"/>
    <w:semiHidden/>
    <w:unhideWhenUsed/>
    <w:qFormat/>
    <w:pPr>
      <w:numPr>
        <w:numId w:val="1"/>
        <w:ilvl w:val="7"/>
      </w:numPr>
      <w:spacing w:before="240" w:after="60"/>
      <w:jc w:val="left"/>
      <w:outlineLvl w:val="7"/>
    </w:pPr>
    <w:rPr>
      <w:rFonts w:ascii="Calibri" w:hAnsi="Calibri" w:eastAsia="Times New Roman"/>
      <w:i/>
      <w:iCs/>
      <w:sz w:val="24"/>
      <w:szCs w:val="24"/>
      <w:lang w:eastAsia="ru-RU"/>
    </w:rPr>
  </w:style>
  <w:style w:type="paragraph" w:styleId="692">
    <w:name w:val="Heading 9"/>
    <w:basedOn w:val="683"/>
    <w:next w:val="683"/>
    <w:link w:val="882"/>
    <w:semiHidden/>
    <w:unhideWhenUsed/>
    <w:qFormat/>
    <w:pPr>
      <w:numPr>
        <w:numId w:val="1"/>
        <w:ilvl w:val="8"/>
      </w:numPr>
      <w:spacing w:before="240" w:after="60"/>
      <w:jc w:val="left"/>
      <w:outlineLvl w:val="8"/>
    </w:pPr>
    <w:rPr>
      <w:rFonts w:ascii="Cambria" w:hAnsi="Cambria" w:eastAsia="Times New Roman"/>
      <w:sz w:val="22"/>
      <w:szCs w:val="22"/>
      <w:lang w:eastAsia="ru-RU"/>
    </w:r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character" w:styleId="696" w:customStyle="1">
    <w:name w:val="Heading 1 Char"/>
    <w:basedOn w:val="693"/>
    <w:uiPriority w:val="9"/>
    <w:rPr>
      <w:rFonts w:ascii="Arial" w:hAnsi="Arial" w:eastAsia="Arial" w:cs="Arial"/>
      <w:sz w:val="40"/>
      <w:szCs w:val="40"/>
    </w:rPr>
  </w:style>
  <w:style w:type="character" w:styleId="697" w:customStyle="1">
    <w:name w:val="Heading 2 Char"/>
    <w:basedOn w:val="693"/>
    <w:uiPriority w:val="9"/>
    <w:rPr>
      <w:rFonts w:ascii="Arial" w:hAnsi="Arial" w:eastAsia="Arial" w:cs="Arial"/>
      <w:sz w:val="34"/>
    </w:rPr>
  </w:style>
  <w:style w:type="character" w:styleId="698" w:customStyle="1">
    <w:name w:val="Heading 3 Char"/>
    <w:basedOn w:val="693"/>
    <w:uiPriority w:val="9"/>
    <w:rPr>
      <w:rFonts w:ascii="Arial" w:hAnsi="Arial" w:eastAsia="Arial" w:cs="Arial"/>
      <w:sz w:val="30"/>
      <w:szCs w:val="30"/>
    </w:rPr>
  </w:style>
  <w:style w:type="character" w:styleId="699" w:customStyle="1">
    <w:name w:val="Heading 4 Char"/>
    <w:basedOn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Heading 5 Char"/>
    <w:basedOn w:val="693"/>
    <w:uiPriority w:val="9"/>
    <w:rPr>
      <w:rFonts w:ascii="Arial" w:hAnsi="Arial" w:eastAsia="Arial" w:cs="Arial"/>
      <w:b/>
      <w:bCs/>
      <w:sz w:val="24"/>
      <w:szCs w:val="24"/>
    </w:rPr>
  </w:style>
  <w:style w:type="character" w:styleId="701" w:customStyle="1">
    <w:name w:val="Heading 6 Char"/>
    <w:basedOn w:val="693"/>
    <w:uiPriority w:val="9"/>
    <w:rPr>
      <w:rFonts w:ascii="Arial" w:hAnsi="Arial" w:eastAsia="Arial" w:cs="Arial"/>
      <w:b/>
      <w:bCs/>
      <w:sz w:val="22"/>
      <w:szCs w:val="22"/>
    </w:rPr>
  </w:style>
  <w:style w:type="character" w:styleId="702" w:customStyle="1">
    <w:name w:val="Heading 7 Char"/>
    <w:basedOn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 w:customStyle="1">
    <w:name w:val="Heading 8 Char"/>
    <w:basedOn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4" w:customStyle="1">
    <w:name w:val="Heading 9 Char"/>
    <w:basedOn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705">
    <w:name w:val="No Spacing"/>
    <w:uiPriority w:val="1"/>
    <w:qFormat/>
    <w:pPr>
      <w:spacing w:after="0" w:line="240" w:lineRule="auto"/>
    </w:pPr>
  </w:style>
  <w:style w:type="paragraph" w:styleId="706">
    <w:name w:val="Title"/>
    <w:basedOn w:val="683"/>
    <w:next w:val="683"/>
    <w:link w:val="70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07" w:customStyle="1">
    <w:name w:val="Название Знак"/>
    <w:basedOn w:val="693"/>
    <w:link w:val="706"/>
    <w:uiPriority w:val="10"/>
    <w:rPr>
      <w:sz w:val="48"/>
      <w:szCs w:val="48"/>
    </w:rPr>
  </w:style>
  <w:style w:type="paragraph" w:styleId="708">
    <w:name w:val="Subtitle"/>
    <w:basedOn w:val="683"/>
    <w:next w:val="683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 w:customStyle="1">
    <w:name w:val="Подзаголовок Знак"/>
    <w:basedOn w:val="693"/>
    <w:link w:val="708"/>
    <w:uiPriority w:val="11"/>
    <w:rPr>
      <w:sz w:val="24"/>
      <w:szCs w:val="24"/>
    </w:rPr>
  </w:style>
  <w:style w:type="paragraph" w:styleId="710">
    <w:name w:val="Quote"/>
    <w:basedOn w:val="683"/>
    <w:next w:val="683"/>
    <w:link w:val="711"/>
    <w:uiPriority w:val="29"/>
    <w:qFormat/>
    <w:pPr>
      <w:ind w:left="720" w:right="720"/>
    </w:pPr>
    <w:rPr>
      <w:i/>
    </w:rPr>
  </w:style>
  <w:style w:type="character" w:styleId="711" w:customStyle="1">
    <w:name w:val="Цитата 2 Знак"/>
    <w:link w:val="710"/>
    <w:uiPriority w:val="29"/>
    <w:rPr>
      <w:i/>
    </w:rPr>
  </w:style>
  <w:style w:type="paragraph" w:styleId="712">
    <w:name w:val="Intense Quote"/>
    <w:basedOn w:val="683"/>
    <w:next w:val="683"/>
    <w:link w:val="71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13" w:customStyle="1">
    <w:name w:val="Выделенная цитата Знак"/>
    <w:link w:val="712"/>
    <w:uiPriority w:val="30"/>
    <w:rPr>
      <w:i/>
    </w:rPr>
  </w:style>
  <w:style w:type="paragraph" w:styleId="714">
    <w:name w:val="Header"/>
    <w:basedOn w:val="683"/>
    <w:link w:val="71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5" w:customStyle="1">
    <w:name w:val="Верхний колонтитул Знак"/>
    <w:basedOn w:val="693"/>
    <w:link w:val="714"/>
    <w:uiPriority w:val="99"/>
  </w:style>
  <w:style w:type="paragraph" w:styleId="716">
    <w:name w:val="Footer"/>
    <w:basedOn w:val="683"/>
    <w:link w:val="71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7" w:customStyle="1">
    <w:name w:val="Footer Char"/>
    <w:basedOn w:val="693"/>
    <w:uiPriority w:val="99"/>
  </w:style>
  <w:style w:type="paragraph" w:styleId="718">
    <w:name w:val="Caption"/>
    <w:basedOn w:val="683"/>
    <w:next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 w:customStyle="1">
    <w:name w:val="Нижний колонтитул Знак"/>
    <w:link w:val="716"/>
    <w:uiPriority w:val="99"/>
  </w:style>
  <w:style w:type="table" w:styleId="720">
    <w:name w:val="Table Grid"/>
    <w:basedOn w:val="69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Table Grid Light"/>
    <w:basedOn w:val="69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 w:customStyle="1">
    <w:name w:val="Plain Table 1"/>
    <w:basedOn w:val="69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 w:customStyle="1">
    <w:name w:val="Plain Table 2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Plain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 w:customStyle="1">
    <w:name w:val="Plain Table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Plain Table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7" w:customStyle="1">
    <w:name w:val="Grid Table 1 Light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5" w:customStyle="1">
    <w:name w:val="Grid Table 2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6" w:customStyle="1">
    <w:name w:val="Grid Table 2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7" w:customStyle="1">
    <w:name w:val="Grid Table 2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8" w:customStyle="1">
    <w:name w:val="Grid Table 2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9" w:customStyle="1">
    <w:name w:val="Grid Table 2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0" w:customStyle="1">
    <w:name w:val="Grid Table 2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1" w:customStyle="1">
    <w:name w:val="Grid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2" w:customStyle="1">
    <w:name w:val="Grid Table 3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3" w:customStyle="1">
    <w:name w:val="Grid Table 3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4" w:customStyle="1">
    <w:name w:val="Grid Table 3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5" w:customStyle="1">
    <w:name w:val="Grid Table 3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6" w:customStyle="1">
    <w:name w:val="Grid Table 3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7" w:customStyle="1">
    <w:name w:val="Grid Table 3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8" w:customStyle="1">
    <w:name w:val="Grid Table 4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 w:customStyle="1">
    <w:name w:val="Grid Table 4 - Accent 1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0" w:customStyle="1">
    <w:name w:val="Grid Table 4 - Accent 2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1" w:customStyle="1">
    <w:name w:val="Grid Table 4 - Accent 3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2" w:customStyle="1">
    <w:name w:val="Grid Table 4 - Accent 4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3" w:customStyle="1">
    <w:name w:val="Grid Table 4 - Accent 5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4" w:customStyle="1">
    <w:name w:val="Grid Table 4 - Accent 6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5" w:customStyle="1">
    <w:name w:val="Grid Table 5 Dark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56" w:customStyle="1">
    <w:name w:val="Grid Table 5 Dark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57" w:customStyle="1">
    <w:name w:val="Grid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58" w:customStyle="1">
    <w:name w:val="Grid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59" w:customStyle="1">
    <w:name w:val="Grid Table 5 Dark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60" w:customStyle="1">
    <w:name w:val="Grid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61" w:customStyle="1">
    <w:name w:val="Grid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62" w:customStyle="1">
    <w:name w:val="Grid Table 6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3" w:customStyle="1">
    <w:name w:val="Grid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4" w:customStyle="1">
    <w:name w:val="Grid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5" w:customStyle="1">
    <w:name w:val="Grid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6" w:customStyle="1">
    <w:name w:val="Grid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7" w:customStyle="1">
    <w:name w:val="Grid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8" w:customStyle="1">
    <w:name w:val="Grid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9" w:customStyle="1">
    <w:name w:val="Grid Table 7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0" w:customStyle="1">
    <w:name w:val="Grid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1" w:customStyle="1">
    <w:name w:val="Grid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2" w:customStyle="1">
    <w:name w:val="Grid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3" w:customStyle="1">
    <w:name w:val="Grid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4" w:customStyle="1">
    <w:name w:val="Grid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5" w:customStyle="1">
    <w:name w:val="Grid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6" w:customStyle="1">
    <w:name w:val="List Table 1 Light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0" w:customStyle="1">
    <w:name w:val="List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5 Dark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6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2" w:customStyle="1">
    <w:name w:val="List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3" w:customStyle="1">
    <w:name w:val="List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List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5" w:customStyle="1">
    <w:name w:val="List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List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7" w:customStyle="1">
    <w:name w:val="List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8" w:customStyle="1">
    <w:name w:val="List Table 7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19" w:customStyle="1">
    <w:name w:val="List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0" w:customStyle="1">
    <w:name w:val="List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1" w:customStyle="1">
    <w:name w:val="List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2" w:customStyle="1">
    <w:name w:val="List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3" w:customStyle="1">
    <w:name w:val="List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4" w:customStyle="1">
    <w:name w:val="List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5" w:customStyle="1">
    <w:name w:val="Lined - Accent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6" w:customStyle="1">
    <w:name w:val="Lined - Accent 1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7" w:customStyle="1">
    <w:name w:val="Lined - Accent 2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8" w:customStyle="1">
    <w:name w:val="Lined - Accent 3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9" w:customStyle="1">
    <w:name w:val="Lined - Accent 4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0" w:customStyle="1">
    <w:name w:val="Lined - Accent 5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1" w:customStyle="1">
    <w:name w:val="Lined - Accent 6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2" w:customStyle="1">
    <w:name w:val="Bordered &amp; Lined - Accent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Bordered &amp; Lined - Accent 1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4" w:customStyle="1">
    <w:name w:val="Bordered &amp; Lined - Accent 2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5" w:customStyle="1">
    <w:name w:val="Bordered &amp; Lined - Accent 3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6" w:customStyle="1">
    <w:name w:val="Bordered &amp; Lined - Accent 4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7" w:customStyle="1">
    <w:name w:val="Bordered &amp; Lined - Accent 5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8" w:customStyle="1">
    <w:name w:val="Bordered &amp; Lined - Accent 6"/>
    <w:basedOn w:val="69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9" w:customStyle="1">
    <w:name w:val="Bordered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0" w:customStyle="1">
    <w:name w:val="Bordered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1" w:customStyle="1">
    <w:name w:val="Bordered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2" w:customStyle="1">
    <w:name w:val="Bordered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3" w:customStyle="1">
    <w:name w:val="Bordered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4" w:customStyle="1">
    <w:name w:val="Bordered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5" w:customStyle="1">
    <w:name w:val="Bordered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683"/>
    <w:link w:val="848"/>
    <w:uiPriority w:val="99"/>
    <w:semiHidden/>
    <w:unhideWhenUsed/>
    <w:pPr>
      <w:spacing w:after="40"/>
    </w:pPr>
    <w:rPr>
      <w:sz w:val="18"/>
    </w:rPr>
  </w:style>
  <w:style w:type="character" w:styleId="848" w:customStyle="1">
    <w:name w:val="Текст сноски Знак"/>
    <w:link w:val="847"/>
    <w:uiPriority w:val="99"/>
    <w:rPr>
      <w:sz w:val="18"/>
    </w:rPr>
  </w:style>
  <w:style w:type="character" w:styleId="849">
    <w:name w:val="footnote reference"/>
    <w:basedOn w:val="693"/>
    <w:uiPriority w:val="99"/>
    <w:unhideWhenUsed/>
    <w:rPr>
      <w:vertAlign w:val="superscript"/>
    </w:rPr>
  </w:style>
  <w:style w:type="paragraph" w:styleId="850">
    <w:name w:val="endnote text"/>
    <w:basedOn w:val="683"/>
    <w:link w:val="851"/>
    <w:uiPriority w:val="99"/>
    <w:semiHidden/>
    <w:unhideWhenUsed/>
    <w:rPr>
      <w:sz w:val="20"/>
    </w:rPr>
  </w:style>
  <w:style w:type="character" w:styleId="851" w:customStyle="1">
    <w:name w:val="Текст концевой сноски Знак"/>
    <w:link w:val="850"/>
    <w:uiPriority w:val="99"/>
    <w:rPr>
      <w:sz w:val="20"/>
    </w:rPr>
  </w:style>
  <w:style w:type="character" w:styleId="852">
    <w:name w:val="endnote reference"/>
    <w:basedOn w:val="693"/>
    <w:uiPriority w:val="99"/>
    <w:semiHidden/>
    <w:unhideWhenUsed/>
    <w:rPr>
      <w:vertAlign w:val="superscript"/>
    </w:rPr>
  </w:style>
  <w:style w:type="paragraph" w:styleId="853">
    <w:name w:val="toc 1"/>
    <w:basedOn w:val="683"/>
    <w:next w:val="683"/>
    <w:uiPriority w:val="39"/>
    <w:unhideWhenUsed/>
    <w:pPr>
      <w:spacing w:after="57"/>
      <w:ind w:firstLine="0"/>
    </w:pPr>
  </w:style>
  <w:style w:type="paragraph" w:styleId="854">
    <w:name w:val="toc 2"/>
    <w:basedOn w:val="683"/>
    <w:next w:val="683"/>
    <w:uiPriority w:val="39"/>
    <w:unhideWhenUsed/>
    <w:pPr>
      <w:spacing w:after="57"/>
      <w:ind w:left="283" w:firstLine="0"/>
    </w:pPr>
  </w:style>
  <w:style w:type="paragraph" w:styleId="855">
    <w:name w:val="toc 3"/>
    <w:basedOn w:val="683"/>
    <w:next w:val="683"/>
    <w:uiPriority w:val="39"/>
    <w:unhideWhenUsed/>
    <w:pPr>
      <w:spacing w:after="57"/>
      <w:ind w:left="567" w:firstLine="0"/>
    </w:pPr>
  </w:style>
  <w:style w:type="paragraph" w:styleId="856">
    <w:name w:val="toc 4"/>
    <w:basedOn w:val="683"/>
    <w:next w:val="683"/>
    <w:uiPriority w:val="39"/>
    <w:unhideWhenUsed/>
    <w:pPr>
      <w:spacing w:after="57"/>
      <w:ind w:left="850" w:firstLine="0"/>
    </w:pPr>
  </w:style>
  <w:style w:type="paragraph" w:styleId="857">
    <w:name w:val="toc 5"/>
    <w:basedOn w:val="683"/>
    <w:next w:val="683"/>
    <w:uiPriority w:val="39"/>
    <w:unhideWhenUsed/>
    <w:pPr>
      <w:spacing w:after="57"/>
      <w:ind w:left="1134" w:firstLine="0"/>
    </w:pPr>
  </w:style>
  <w:style w:type="paragraph" w:styleId="858">
    <w:name w:val="toc 6"/>
    <w:basedOn w:val="683"/>
    <w:next w:val="683"/>
    <w:uiPriority w:val="39"/>
    <w:unhideWhenUsed/>
    <w:pPr>
      <w:spacing w:after="57"/>
      <w:ind w:left="1417" w:firstLine="0"/>
    </w:pPr>
  </w:style>
  <w:style w:type="paragraph" w:styleId="859">
    <w:name w:val="toc 7"/>
    <w:basedOn w:val="683"/>
    <w:next w:val="683"/>
    <w:uiPriority w:val="39"/>
    <w:unhideWhenUsed/>
    <w:pPr>
      <w:spacing w:after="57"/>
      <w:ind w:left="1701" w:firstLine="0"/>
    </w:pPr>
  </w:style>
  <w:style w:type="paragraph" w:styleId="860">
    <w:name w:val="toc 8"/>
    <w:basedOn w:val="683"/>
    <w:next w:val="683"/>
    <w:uiPriority w:val="39"/>
    <w:unhideWhenUsed/>
    <w:pPr>
      <w:spacing w:after="57"/>
      <w:ind w:left="1984" w:firstLine="0"/>
    </w:pPr>
  </w:style>
  <w:style w:type="paragraph" w:styleId="861">
    <w:name w:val="toc 9"/>
    <w:basedOn w:val="683"/>
    <w:next w:val="683"/>
    <w:uiPriority w:val="39"/>
    <w:unhideWhenUsed/>
    <w:pPr>
      <w:spacing w:after="57"/>
      <w:ind w:left="2268" w:firstLine="0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683"/>
    <w:next w:val="683"/>
    <w:uiPriority w:val="99"/>
    <w:unhideWhenUsed/>
  </w:style>
  <w:style w:type="paragraph" w:styleId="864" w:customStyle="1">
    <w:name w:val="ConsPlusNormal"/>
    <w:pPr>
      <w:widowControl w:val="off"/>
      <w:spacing w:after="0" w:line="240" w:lineRule="auto"/>
    </w:pPr>
    <w:rPr>
      <w:rFonts w:ascii="Calibri" w:hAnsi="Calibri" w:eastAsia="Times New Roman" w:cs="Calibri"/>
      <w:szCs w:val="20"/>
      <w:lang w:eastAsia="ru-RU"/>
    </w:rPr>
  </w:style>
  <w:style w:type="paragraph" w:styleId="865" w:customStyle="1">
    <w:name w:val="ConsPlusTitle"/>
    <w:pPr>
      <w:widowControl w:val="off"/>
      <w:spacing w:after="0" w:line="240" w:lineRule="auto"/>
    </w:pPr>
    <w:rPr>
      <w:rFonts w:ascii="Calibri" w:hAnsi="Calibri" w:eastAsia="Times New Roman" w:cs="Calibri"/>
      <w:b/>
      <w:szCs w:val="20"/>
      <w:lang w:eastAsia="ru-RU"/>
    </w:rPr>
  </w:style>
  <w:style w:type="paragraph" w:styleId="866" w:customStyle="1">
    <w:name w:val="ConsPlusTitlePage"/>
    <w:pPr>
      <w:widowControl w:val="off"/>
      <w:spacing w:after="0" w:line="240" w:lineRule="auto"/>
    </w:pPr>
    <w:rPr>
      <w:rFonts w:ascii="Tahoma" w:hAnsi="Tahoma" w:eastAsia="Times New Roman" w:cs="Tahoma"/>
      <w:sz w:val="20"/>
      <w:szCs w:val="20"/>
      <w:lang w:eastAsia="ru-RU"/>
    </w:rPr>
  </w:style>
  <w:style w:type="paragraph" w:styleId="867">
    <w:name w:val="Normal (Web)"/>
    <w:basedOn w:val="683"/>
    <w:uiPriority w:val="99"/>
    <w:unhideWhenUsed/>
    <w:pPr>
      <w:spacing w:before="100" w:beforeAutospacing="1" w:after="100" w:afterAutospacing="1"/>
      <w:ind w:firstLine="0"/>
      <w:jc w:val="left"/>
    </w:pPr>
    <w:rPr>
      <w:rFonts w:eastAsiaTheme="minorHAnsi"/>
      <w:sz w:val="24"/>
      <w:szCs w:val="24"/>
      <w:lang w:eastAsia="ru-RU"/>
    </w:rPr>
  </w:style>
  <w:style w:type="paragraph" w:styleId="868">
    <w:name w:val="Plain Text"/>
    <w:basedOn w:val="683"/>
    <w:link w:val="869"/>
    <w:uiPriority w:val="99"/>
    <w:semiHidden/>
    <w:unhideWhenUsed/>
    <w:pPr>
      <w:ind w:firstLine="0"/>
      <w:jc w:val="left"/>
    </w:pPr>
    <w:rPr>
      <w:rFonts w:ascii="Calibri" w:hAnsi="Calibri" w:eastAsiaTheme="minorHAnsi" w:cstheme="minorBidi"/>
      <w:sz w:val="22"/>
      <w:szCs w:val="21"/>
    </w:rPr>
  </w:style>
  <w:style w:type="character" w:styleId="869" w:customStyle="1">
    <w:name w:val="Текст Знак"/>
    <w:basedOn w:val="693"/>
    <w:link w:val="868"/>
    <w:uiPriority w:val="99"/>
    <w:semiHidden/>
    <w:rPr>
      <w:rFonts w:ascii="Calibri" w:hAnsi="Calibri"/>
      <w:szCs w:val="21"/>
    </w:rPr>
  </w:style>
  <w:style w:type="paragraph" w:styleId="870">
    <w:name w:val="List Paragraph"/>
    <w:basedOn w:val="683"/>
    <w:uiPriority w:val="34"/>
    <w:qFormat/>
    <w:pPr>
      <w:ind w:left="720"/>
      <w:contextualSpacing/>
    </w:pPr>
  </w:style>
  <w:style w:type="paragraph" w:styleId="871">
    <w:name w:val="Balloon Text"/>
    <w:basedOn w:val="683"/>
    <w:link w:val="872"/>
    <w:uiPriority w:val="99"/>
    <w:semiHidden/>
    <w:unhideWhenUsed/>
    <w:rPr>
      <w:rFonts w:ascii="Tahoma" w:hAnsi="Tahoma" w:cs="Tahoma"/>
      <w:sz w:val="16"/>
      <w:szCs w:val="16"/>
    </w:rPr>
  </w:style>
  <w:style w:type="character" w:styleId="872" w:customStyle="1">
    <w:name w:val="Текст выноски Знак"/>
    <w:basedOn w:val="693"/>
    <w:link w:val="871"/>
    <w:uiPriority w:val="99"/>
    <w:semiHidden/>
    <w:rPr>
      <w:rFonts w:ascii="Tahoma" w:hAnsi="Tahoma" w:eastAsia="Calibri" w:cs="Tahoma"/>
      <w:sz w:val="16"/>
      <w:szCs w:val="16"/>
    </w:rPr>
  </w:style>
  <w:style w:type="paragraph" w:styleId="873" w:customStyle="1">
    <w:name w:val="Заголовок"/>
    <w:basedOn w:val="683"/>
    <w:pPr>
      <w:ind w:right="3232" w:firstLine="0"/>
    </w:pPr>
    <w:rPr>
      <w:rFonts w:eastAsia="Times New Roman"/>
      <w:b/>
      <w:bCs/>
      <w:lang w:eastAsia="ru-RU"/>
    </w:rPr>
  </w:style>
  <w:style w:type="character" w:styleId="874" w:customStyle="1">
    <w:name w:val="Заголовок 1 Знак"/>
    <w:basedOn w:val="693"/>
    <w:link w:val="684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75" w:customStyle="1">
    <w:name w:val="Заголовок 2 Знак"/>
    <w:basedOn w:val="693"/>
    <w:link w:val="685"/>
    <w:semiHidden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876" w:customStyle="1">
    <w:name w:val="Заголовок 3 Знак"/>
    <w:basedOn w:val="693"/>
    <w:link w:val="686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7" w:customStyle="1">
    <w:name w:val="Заголовок 4 Знак"/>
    <w:basedOn w:val="693"/>
    <w:link w:val="687"/>
    <w:semiHidden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878" w:customStyle="1">
    <w:name w:val="Заголовок 5 Знак"/>
    <w:basedOn w:val="693"/>
    <w:link w:val="688"/>
    <w:semiHidden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879" w:customStyle="1">
    <w:name w:val="Заголовок 6 Знак"/>
    <w:basedOn w:val="693"/>
    <w:link w:val="689"/>
    <w:semiHidden/>
    <w:rPr>
      <w:rFonts w:ascii="Calibri" w:hAnsi="Calibri" w:eastAsia="Times New Roman" w:cs="Times New Roman"/>
      <w:b/>
      <w:bCs/>
      <w:lang w:eastAsia="ru-RU"/>
    </w:rPr>
  </w:style>
  <w:style w:type="character" w:styleId="880" w:customStyle="1">
    <w:name w:val="Заголовок 7 Знак"/>
    <w:basedOn w:val="693"/>
    <w:link w:val="690"/>
    <w:semiHidden/>
    <w:rPr>
      <w:rFonts w:ascii="Calibri" w:hAnsi="Calibri" w:eastAsia="Times New Roman" w:cs="Times New Roman"/>
      <w:sz w:val="24"/>
      <w:szCs w:val="24"/>
      <w:lang w:eastAsia="ru-RU"/>
    </w:rPr>
  </w:style>
  <w:style w:type="character" w:styleId="881" w:customStyle="1">
    <w:name w:val="Заголовок 8 Знак"/>
    <w:basedOn w:val="693"/>
    <w:link w:val="691"/>
    <w:semiHidden/>
    <w:rPr>
      <w:rFonts w:ascii="Calibri" w:hAnsi="Calibri" w:eastAsia="Times New Roman" w:cs="Times New Roman"/>
      <w:i/>
      <w:iCs/>
      <w:sz w:val="24"/>
      <w:szCs w:val="24"/>
      <w:lang w:eastAsia="ru-RU"/>
    </w:rPr>
  </w:style>
  <w:style w:type="character" w:styleId="882" w:customStyle="1">
    <w:name w:val="Заголовок 9 Знак"/>
    <w:basedOn w:val="693"/>
    <w:link w:val="692"/>
    <w:semiHidden/>
    <w:rPr>
      <w:rFonts w:ascii="Cambria" w:hAnsi="Cambria" w:eastAsia="Times New Roman" w:cs="Times New Roman"/>
      <w:lang w:eastAsia="ru-RU"/>
    </w:rPr>
  </w:style>
  <w:style w:type="paragraph" w:styleId="883" w:customStyle="1">
    <w:name w:val="Подпись рукодителя"/>
    <w:basedOn w:val="683"/>
    <w:pPr>
      <w:ind w:firstLine="0"/>
      <w:jc w:val="left"/>
    </w:pPr>
    <w:rPr>
      <w:rFonts w:eastAsia="Times New Roman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Афонина Алла Владимировна</dc:creator>
  <cp:revision>11</cp:revision>
  <dcterms:created xsi:type="dcterms:W3CDTF">2022-07-28T07:07:00Z</dcterms:created>
  <dcterms:modified xsi:type="dcterms:W3CDTF">2023-04-26T11:34:49Z</dcterms:modified>
</cp:coreProperties>
</file>